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楷体" w:hAnsi="楷体" w:eastAsia="楷体"/>
          <w:b/>
          <w:kern w:val="0"/>
          <w:sz w:val="36"/>
          <w:szCs w:val="36"/>
          <w:lang w:val="en-US" w:eastAsia="zh-CN"/>
        </w:rPr>
      </w:pPr>
      <w:r>
        <w:rPr>
          <w:rFonts w:hint="eastAsia" w:ascii="楷体" w:hAnsi="楷体" w:eastAsia="楷体"/>
          <w:b/>
          <w:kern w:val="0"/>
          <w:sz w:val="36"/>
          <w:szCs w:val="36"/>
          <w:lang w:val="en-US" w:eastAsia="zh-CN"/>
        </w:rPr>
        <w:t>关于调整</w:t>
      </w:r>
      <w:r>
        <w:rPr>
          <w:rFonts w:hint="eastAsia" w:ascii="楷体" w:hAnsi="楷体" w:eastAsia="楷体"/>
          <w:b/>
          <w:kern w:val="0"/>
          <w:sz w:val="36"/>
          <w:szCs w:val="36"/>
        </w:rPr>
        <w:t>“苏银理财恒源</w:t>
      </w:r>
      <w:r>
        <w:rPr>
          <w:rFonts w:hint="eastAsia" w:ascii="楷体" w:hAnsi="楷体" w:eastAsia="楷体"/>
          <w:b/>
          <w:kern w:val="0"/>
          <w:sz w:val="36"/>
          <w:szCs w:val="36"/>
          <w:lang w:val="en-US" w:eastAsia="zh-CN"/>
        </w:rPr>
        <w:t>日申月持1号</w:t>
      </w:r>
      <w:r>
        <w:rPr>
          <w:rFonts w:hint="eastAsia" w:ascii="楷体" w:hAnsi="楷体" w:eastAsia="楷体"/>
          <w:b/>
          <w:kern w:val="0"/>
          <w:sz w:val="36"/>
          <w:szCs w:val="36"/>
        </w:rPr>
        <w:t>”理财产品</w:t>
      </w:r>
      <w:r>
        <w:rPr>
          <w:rFonts w:hint="eastAsia" w:ascii="楷体" w:hAnsi="楷体" w:eastAsia="楷体"/>
          <w:b/>
          <w:kern w:val="0"/>
          <w:sz w:val="36"/>
          <w:szCs w:val="36"/>
          <w:lang w:val="en-US" w:eastAsia="zh-CN"/>
        </w:rPr>
        <w:t>要素的公告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pStyle w:val="11"/>
        <w:spacing w:before="0" w:beforeAutospacing="0" w:after="312" w:afterLines="10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lang w:val="en-US" w:eastAsia="zh-CN"/>
        </w:rPr>
        <w:t>根据投资运作情况</w:t>
      </w:r>
      <w:r>
        <w:rPr>
          <w:rFonts w:hint="eastAsia" w:ascii="楷体" w:hAnsi="楷体" w:eastAsia="楷体" w:cs="Times New Roman"/>
          <w:sz w:val="28"/>
          <w:szCs w:val="28"/>
        </w:rPr>
        <w:t>，管理人自202</w:t>
      </w:r>
      <w:r>
        <w:rPr>
          <w:rFonts w:hint="eastAsia" w:ascii="楷体" w:hAnsi="楷体" w:eastAsia="楷体" w:cs="Times New Roman"/>
          <w:sz w:val="28"/>
          <w:szCs w:val="28"/>
          <w:lang w:val="en-US" w:eastAsia="zh-CN"/>
        </w:rPr>
        <w:t>5</w:t>
      </w:r>
      <w:r>
        <w:rPr>
          <w:rFonts w:hint="eastAsia" w:ascii="楷体" w:hAnsi="楷体" w:eastAsia="楷体" w:cs="Times New Roman"/>
          <w:sz w:val="28"/>
          <w:szCs w:val="28"/>
        </w:rPr>
        <w:t>年</w:t>
      </w:r>
      <w:r>
        <w:rPr>
          <w:rFonts w:hint="eastAsia" w:ascii="楷体" w:hAnsi="楷体" w:eastAsia="楷体" w:cs="Times New Roman"/>
          <w:sz w:val="28"/>
          <w:szCs w:val="28"/>
          <w:lang w:val="en-US" w:eastAsia="zh-CN"/>
        </w:rPr>
        <w:t>10</w:t>
      </w:r>
      <w:r>
        <w:rPr>
          <w:rFonts w:hint="eastAsia" w:ascii="楷体" w:hAnsi="楷体" w:eastAsia="楷体" w:cs="Times New Roman"/>
          <w:sz w:val="28"/>
          <w:szCs w:val="28"/>
        </w:rPr>
        <w:t>月</w:t>
      </w:r>
      <w:r>
        <w:rPr>
          <w:rFonts w:hint="eastAsia" w:ascii="楷体" w:hAnsi="楷体" w:eastAsia="楷体" w:cs="Times New Roman"/>
          <w:sz w:val="28"/>
          <w:szCs w:val="28"/>
          <w:lang w:val="en-US" w:eastAsia="zh-CN"/>
        </w:rPr>
        <w:t>14</w:t>
      </w:r>
      <w:r>
        <w:rPr>
          <w:rFonts w:hint="eastAsia" w:ascii="楷体" w:hAnsi="楷体" w:eastAsia="楷体" w:cs="Times New Roman"/>
          <w:sz w:val="28"/>
          <w:szCs w:val="28"/>
        </w:rPr>
        <w:t>日起，对“苏银理财恒源日申</w:t>
      </w:r>
      <w:r>
        <w:rPr>
          <w:rFonts w:hint="eastAsia" w:ascii="楷体" w:hAnsi="楷体" w:eastAsia="楷体" w:cs="Times New Roman"/>
          <w:sz w:val="28"/>
          <w:szCs w:val="28"/>
          <w:lang w:val="en-US" w:eastAsia="zh-CN"/>
        </w:rPr>
        <w:t>月</w:t>
      </w:r>
      <w:r>
        <w:rPr>
          <w:rFonts w:hint="eastAsia" w:ascii="楷体" w:hAnsi="楷体" w:eastAsia="楷体" w:cs="Times New Roman"/>
          <w:sz w:val="28"/>
          <w:szCs w:val="28"/>
        </w:rPr>
        <w:t>持1号”理财产品</w:t>
      </w:r>
      <w:r>
        <w:rPr>
          <w:rFonts w:hint="eastAsia" w:ascii="楷体" w:hAnsi="楷体" w:eastAsia="楷体" w:cs="Times New Roman"/>
          <w:sz w:val="28"/>
          <w:szCs w:val="28"/>
          <w:lang w:val="en-US" w:eastAsia="zh-CN"/>
        </w:rPr>
        <w:t>的业绩比较基准</w:t>
      </w:r>
      <w:r>
        <w:rPr>
          <w:rFonts w:hint="eastAsia" w:ascii="楷体" w:hAnsi="楷体" w:eastAsia="楷体" w:cs="Times New Roman"/>
          <w:sz w:val="28"/>
          <w:szCs w:val="28"/>
        </w:rPr>
        <w:t>、</w:t>
      </w:r>
      <w:r>
        <w:rPr>
          <w:rFonts w:hint="eastAsia" w:ascii="楷体" w:hAnsi="楷体" w:eastAsia="楷体" w:cs="Times New Roman"/>
          <w:sz w:val="28"/>
          <w:szCs w:val="28"/>
          <w:lang w:val="en-US" w:eastAsia="zh-CN"/>
        </w:rPr>
        <w:t>超额业绩报酬计提基准进行调整（</w:t>
      </w:r>
      <w:r>
        <w:rPr>
          <w:rFonts w:hint="eastAsia" w:ascii="楷体" w:hAnsi="楷体" w:eastAsia="楷体" w:cs="Times New Roman"/>
          <w:sz w:val="28"/>
          <w:szCs w:val="28"/>
        </w:rPr>
        <w:t>业绩比较基准</w:t>
      </w:r>
      <w:r>
        <w:rPr>
          <w:rFonts w:hint="eastAsia" w:ascii="楷体" w:hAnsi="楷体" w:eastAsia="楷体" w:cs="Times New Roman"/>
          <w:sz w:val="28"/>
          <w:szCs w:val="28"/>
          <w:lang w:val="en-US" w:eastAsia="zh-CN"/>
        </w:rPr>
        <w:t>为管理人</w:t>
      </w:r>
      <w:r>
        <w:rPr>
          <w:rFonts w:hint="eastAsia" w:ascii="楷体" w:hAnsi="楷体" w:eastAsia="楷体" w:cs="Times New Roman"/>
          <w:sz w:val="28"/>
          <w:szCs w:val="28"/>
        </w:rPr>
        <w:t>对本产品所设定的投资目标，不代表理财产品未来表现，不等于理财产品实际收益，不作为产品收益的业绩保证，投资者的实际收益由产品净值表现决定</w:t>
      </w:r>
      <w:r>
        <w:rPr>
          <w:rFonts w:hint="eastAsia" w:ascii="楷体" w:hAnsi="楷体" w:eastAsia="楷体" w:cs="Times New Roman"/>
          <w:sz w:val="28"/>
          <w:szCs w:val="28"/>
          <w:lang w:val="en-US" w:eastAsia="zh-CN"/>
        </w:rPr>
        <w:t>）。具体安排如下</w:t>
      </w:r>
      <w:r>
        <w:rPr>
          <w:rFonts w:hint="eastAsia" w:ascii="楷体" w:hAnsi="楷体" w:eastAsia="楷体" w:cs="Times New Roman"/>
          <w:sz w:val="28"/>
          <w:szCs w:val="28"/>
        </w:rPr>
        <w:t>：</w:t>
      </w:r>
    </w:p>
    <w:tbl>
      <w:tblPr>
        <w:tblStyle w:val="13"/>
        <w:tblW w:w="575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1"/>
        <w:gridCol w:w="1548"/>
        <w:gridCol w:w="1632"/>
        <w:gridCol w:w="1620"/>
        <w:gridCol w:w="1410"/>
        <w:gridCol w:w="1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1190" w:type="pct"/>
            <w:vMerge w:val="restar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rPr>
            </w:pPr>
            <w:r>
              <w:rPr>
                <w:rFonts w:hint="eastAsia" w:ascii="楷体" w:hAnsi="楷体" w:eastAsia="楷体" w:cs="Times New Roman"/>
                <w:sz w:val="24"/>
                <w:szCs w:val="24"/>
              </w:rPr>
              <w:t>销售简称</w:t>
            </w:r>
          </w:p>
        </w:tc>
        <w:tc>
          <w:tcPr>
            <w:tcW w:w="780" w:type="pct"/>
            <w:vMerge w:val="restar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rPr>
            </w:pPr>
            <w:r>
              <w:rPr>
                <w:rFonts w:hint="eastAsia" w:ascii="楷体" w:hAnsi="楷体" w:eastAsia="楷体" w:cs="Times New Roman"/>
                <w:sz w:val="24"/>
                <w:szCs w:val="24"/>
              </w:rPr>
              <w:t>销售代码</w:t>
            </w:r>
          </w:p>
        </w:tc>
        <w:tc>
          <w:tcPr>
            <w:tcW w:w="1639" w:type="pct"/>
            <w:gridSpan w:val="2"/>
            <w:noWrap w:val="0"/>
            <w:vAlign w:val="center"/>
          </w:tcPr>
          <w:p>
            <w:pPr>
              <w:pStyle w:val="11"/>
              <w:spacing w:before="0" w:beforeAutospacing="0" w:after="0" w:afterAutospacing="0" w:line="400" w:lineRule="exact"/>
              <w:jc w:val="center"/>
              <w:rPr>
                <w:rFonts w:hint="default" w:ascii="楷体" w:hAnsi="楷体" w:eastAsia="楷体" w:cs="Times New Roman"/>
                <w:sz w:val="24"/>
                <w:szCs w:val="24"/>
                <w:lang w:val="en-US" w:eastAsia="zh-CN"/>
              </w:rPr>
            </w:pPr>
            <w:r>
              <w:rPr>
                <w:rFonts w:hint="eastAsia" w:ascii="楷体" w:hAnsi="楷体" w:eastAsia="楷体" w:cs="Times New Roman"/>
                <w:sz w:val="24"/>
                <w:szCs w:val="24"/>
                <w:lang w:val="en-US" w:eastAsia="zh-CN"/>
              </w:rPr>
              <w:t>业绩比较基准（年化）</w:t>
            </w:r>
          </w:p>
        </w:tc>
        <w:tc>
          <w:tcPr>
            <w:tcW w:w="1389" w:type="pct"/>
            <w:gridSpan w:val="2"/>
            <w:noWrap w:val="0"/>
            <w:vAlign w:val="center"/>
          </w:tcPr>
          <w:p>
            <w:pPr>
              <w:pStyle w:val="11"/>
              <w:spacing w:before="0" w:beforeAutospacing="0" w:after="0" w:afterAutospacing="0" w:line="400" w:lineRule="exact"/>
              <w:jc w:val="center"/>
              <w:rPr>
                <w:rFonts w:hint="default" w:ascii="楷体" w:hAnsi="楷体" w:eastAsia="楷体" w:cs="Times New Roman"/>
                <w:sz w:val="24"/>
                <w:szCs w:val="24"/>
                <w:lang w:val="en-US"/>
              </w:rPr>
            </w:pPr>
            <w:r>
              <w:rPr>
                <w:rFonts w:hint="eastAsia" w:ascii="楷体" w:hAnsi="楷体" w:eastAsia="楷体" w:cs="Times New Roman"/>
                <w:sz w:val="24"/>
                <w:szCs w:val="24"/>
                <w:lang w:val="en-US" w:eastAsia="zh-CN"/>
              </w:rPr>
              <w:t xml:space="preserve">超额报酬计提基准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1190" w:type="pct"/>
            <w:vMerge w:val="continue"/>
            <w:noWrap w:val="0"/>
            <w:vAlign w:val="center"/>
          </w:tcPr>
          <w:p>
            <w:pPr>
              <w:pStyle w:val="11"/>
              <w:spacing w:before="0" w:beforeAutospacing="0" w:after="0" w:afterAutospacing="0" w:line="400" w:lineRule="exact"/>
              <w:jc w:val="center"/>
              <w:rPr>
                <w:sz w:val="22"/>
                <w:szCs w:val="22"/>
              </w:rPr>
            </w:pPr>
          </w:p>
        </w:tc>
        <w:tc>
          <w:tcPr>
            <w:tcW w:w="780" w:type="pct"/>
            <w:vMerge w:val="continue"/>
            <w:noWrap w:val="0"/>
            <w:vAlign w:val="center"/>
          </w:tcPr>
          <w:p>
            <w:pPr>
              <w:pStyle w:val="11"/>
              <w:spacing w:before="0" w:beforeAutospacing="0" w:after="0" w:afterAutospacing="0" w:line="400" w:lineRule="exact"/>
              <w:jc w:val="center"/>
              <w:rPr>
                <w:sz w:val="22"/>
                <w:szCs w:val="22"/>
              </w:rPr>
            </w:pPr>
          </w:p>
        </w:tc>
        <w:tc>
          <w:tcPr>
            <w:tcW w:w="822"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rPr>
            </w:pPr>
            <w:r>
              <w:rPr>
                <w:rFonts w:hint="eastAsia" w:ascii="楷体" w:hAnsi="楷体" w:eastAsia="楷体" w:cs="Times New Roman"/>
                <w:sz w:val="24"/>
                <w:szCs w:val="24"/>
                <w:lang w:val="en-US" w:eastAsia="zh-CN"/>
              </w:rPr>
              <w:t>调整前</w:t>
            </w:r>
          </w:p>
        </w:tc>
        <w:tc>
          <w:tcPr>
            <w:tcW w:w="816"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rPr>
            </w:pPr>
            <w:r>
              <w:rPr>
                <w:rFonts w:hint="eastAsia" w:ascii="楷体" w:hAnsi="楷体" w:eastAsia="楷体" w:cs="Times New Roman"/>
                <w:sz w:val="24"/>
                <w:szCs w:val="24"/>
                <w:lang w:val="en-US" w:eastAsia="zh-CN"/>
              </w:rPr>
              <w:t>调整后</w:t>
            </w:r>
          </w:p>
        </w:tc>
        <w:tc>
          <w:tcPr>
            <w:tcW w:w="710"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rPr>
            </w:pPr>
            <w:r>
              <w:rPr>
                <w:rFonts w:hint="eastAsia" w:ascii="楷体" w:hAnsi="楷体" w:eastAsia="楷体" w:cs="Times New Roman"/>
                <w:sz w:val="24"/>
                <w:szCs w:val="24"/>
                <w:lang w:val="en-US" w:eastAsia="zh-CN"/>
              </w:rPr>
              <w:t>调整前</w:t>
            </w:r>
          </w:p>
        </w:tc>
        <w:tc>
          <w:tcPr>
            <w:tcW w:w="678"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rPr>
            </w:pPr>
            <w:r>
              <w:rPr>
                <w:rFonts w:hint="eastAsia" w:ascii="楷体" w:hAnsi="楷体" w:eastAsia="楷体" w:cs="Times New Roman"/>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190" w:type="pct"/>
            <w:noWrap w:val="0"/>
            <w:vAlign w:val="center"/>
          </w:tcPr>
          <w:p>
            <w:pPr>
              <w:pStyle w:val="11"/>
              <w:spacing w:before="0" w:beforeAutospacing="0" w:after="0" w:afterAutospacing="0" w:line="400" w:lineRule="exact"/>
              <w:jc w:val="center"/>
              <w:rPr>
                <w:rFonts w:hint="default" w:ascii="楷体" w:hAnsi="楷体" w:eastAsia="楷体" w:cs="Times New Roman"/>
                <w:sz w:val="24"/>
                <w:szCs w:val="24"/>
                <w:lang w:val="en-US" w:eastAsia="zh-CN"/>
              </w:rPr>
            </w:pPr>
            <w:bookmarkStart w:id="0" w:name="OLE_LINK1" w:colFirst="3" w:colLast="3"/>
            <w:r>
              <w:rPr>
                <w:rFonts w:hint="eastAsia" w:ascii="楷体" w:hAnsi="楷体" w:eastAsia="楷体" w:cs="Times New Roman"/>
                <w:sz w:val="24"/>
                <w:szCs w:val="24"/>
                <w:lang w:val="en-US" w:eastAsia="zh-CN"/>
              </w:rPr>
              <w:t>苏银理财恒源日申月持1号F</w:t>
            </w:r>
          </w:p>
        </w:tc>
        <w:tc>
          <w:tcPr>
            <w:tcW w:w="780"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J02095</w:t>
            </w:r>
          </w:p>
        </w:tc>
        <w:tc>
          <w:tcPr>
            <w:tcW w:w="822"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sz w:val="24"/>
                <w:szCs w:val="24"/>
                <w:lang w:val="en-US" w:eastAsia="zh-CN"/>
              </w:rPr>
            </w:pPr>
            <w:r>
              <w:rPr>
                <w:rFonts w:hint="default" w:ascii="楷体" w:hAnsi="楷体" w:eastAsia="楷体" w:cs="宋体"/>
                <w:spacing w:val="-2"/>
                <w:kern w:val="0"/>
                <w:sz w:val="24"/>
                <w:szCs w:val="24"/>
                <w:highlight w:val="none"/>
                <w:lang w:val="en-US" w:eastAsia="zh-CN" w:bidi="ar-SA"/>
              </w:rPr>
              <w:t>2.</w:t>
            </w:r>
            <w:r>
              <w:rPr>
                <w:rFonts w:hint="eastAsia" w:ascii="楷体" w:hAnsi="楷体" w:eastAsia="楷体" w:cs="宋体"/>
                <w:spacing w:val="-2"/>
                <w:kern w:val="0"/>
                <w:sz w:val="24"/>
                <w:szCs w:val="24"/>
                <w:highlight w:val="none"/>
                <w:lang w:val="en-US" w:eastAsia="zh-CN" w:bidi="ar-SA"/>
              </w:rPr>
              <w:t>00</w:t>
            </w:r>
            <w:r>
              <w:rPr>
                <w:rFonts w:hint="default" w:ascii="楷体" w:hAnsi="楷体" w:eastAsia="楷体" w:cs="宋体"/>
                <w:spacing w:val="-2"/>
                <w:kern w:val="0"/>
                <w:sz w:val="24"/>
                <w:szCs w:val="24"/>
                <w:highlight w:val="none"/>
                <w:lang w:val="en-US" w:eastAsia="zh-CN" w:bidi="ar-SA"/>
              </w:rPr>
              <w:t>%-</w:t>
            </w:r>
            <w:r>
              <w:rPr>
                <w:rFonts w:hint="eastAsia" w:ascii="楷体" w:hAnsi="楷体" w:eastAsia="楷体" w:cs="宋体"/>
                <w:spacing w:val="-2"/>
                <w:kern w:val="0"/>
                <w:sz w:val="24"/>
                <w:szCs w:val="24"/>
                <w:highlight w:val="none"/>
                <w:lang w:val="en-US" w:eastAsia="zh-CN" w:bidi="ar-SA"/>
              </w:rPr>
              <w:t>2.9</w:t>
            </w:r>
            <w:r>
              <w:rPr>
                <w:rFonts w:hint="default" w:ascii="楷体" w:hAnsi="楷体" w:eastAsia="楷体" w:cs="宋体"/>
                <w:spacing w:val="-2"/>
                <w:kern w:val="0"/>
                <w:sz w:val="24"/>
                <w:szCs w:val="24"/>
                <w:highlight w:val="none"/>
                <w:lang w:val="en-US" w:eastAsia="zh-CN" w:bidi="ar-SA"/>
              </w:rPr>
              <w:t>0%</w:t>
            </w:r>
          </w:p>
        </w:tc>
        <w:tc>
          <w:tcPr>
            <w:tcW w:w="816"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1.70%-2.70%</w:t>
            </w:r>
          </w:p>
        </w:tc>
        <w:tc>
          <w:tcPr>
            <w:tcW w:w="710"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2.90%</w:t>
            </w:r>
          </w:p>
        </w:tc>
        <w:tc>
          <w:tcPr>
            <w:tcW w:w="678"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190"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苏银理财恒源日申月持1号G</w:t>
            </w:r>
          </w:p>
        </w:tc>
        <w:tc>
          <w:tcPr>
            <w:tcW w:w="780"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J03639</w:t>
            </w:r>
          </w:p>
        </w:tc>
        <w:tc>
          <w:tcPr>
            <w:tcW w:w="822"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sz w:val="24"/>
                <w:szCs w:val="24"/>
                <w:lang w:val="en-US" w:eastAsia="zh-CN"/>
              </w:rPr>
            </w:pPr>
            <w:r>
              <w:rPr>
                <w:rFonts w:hint="default" w:ascii="楷体" w:hAnsi="楷体" w:eastAsia="楷体" w:cs="宋体"/>
                <w:spacing w:val="-2"/>
                <w:kern w:val="0"/>
                <w:sz w:val="24"/>
                <w:szCs w:val="24"/>
                <w:highlight w:val="none"/>
                <w:lang w:val="en-US" w:eastAsia="zh-CN" w:bidi="ar-SA"/>
              </w:rPr>
              <w:t>2.</w:t>
            </w:r>
            <w:r>
              <w:rPr>
                <w:rFonts w:hint="eastAsia" w:ascii="楷体" w:hAnsi="楷体" w:eastAsia="楷体" w:cs="宋体"/>
                <w:spacing w:val="-2"/>
                <w:kern w:val="0"/>
                <w:sz w:val="24"/>
                <w:szCs w:val="24"/>
                <w:highlight w:val="none"/>
                <w:lang w:val="en-US" w:eastAsia="zh-CN" w:bidi="ar-SA"/>
              </w:rPr>
              <w:t>10</w:t>
            </w:r>
            <w:r>
              <w:rPr>
                <w:rFonts w:hint="default" w:ascii="楷体" w:hAnsi="楷体" w:eastAsia="楷体" w:cs="宋体"/>
                <w:spacing w:val="-2"/>
                <w:kern w:val="0"/>
                <w:sz w:val="24"/>
                <w:szCs w:val="24"/>
                <w:highlight w:val="none"/>
                <w:lang w:val="en-US" w:eastAsia="zh-CN" w:bidi="ar-SA"/>
              </w:rPr>
              <w:t>%-</w:t>
            </w:r>
            <w:r>
              <w:rPr>
                <w:rFonts w:hint="eastAsia" w:ascii="楷体" w:hAnsi="楷体" w:eastAsia="楷体" w:cs="宋体"/>
                <w:spacing w:val="-2"/>
                <w:kern w:val="0"/>
                <w:sz w:val="24"/>
                <w:szCs w:val="24"/>
                <w:highlight w:val="none"/>
                <w:lang w:val="en-US" w:eastAsia="zh-CN" w:bidi="ar-SA"/>
              </w:rPr>
              <w:t>3.0</w:t>
            </w:r>
            <w:r>
              <w:rPr>
                <w:rFonts w:hint="default" w:ascii="楷体" w:hAnsi="楷体" w:eastAsia="楷体" w:cs="宋体"/>
                <w:spacing w:val="-2"/>
                <w:kern w:val="0"/>
                <w:sz w:val="24"/>
                <w:szCs w:val="24"/>
                <w:highlight w:val="none"/>
                <w:lang w:val="en-US" w:eastAsia="zh-CN" w:bidi="ar-SA"/>
              </w:rPr>
              <w:t>0%</w:t>
            </w:r>
          </w:p>
        </w:tc>
        <w:tc>
          <w:tcPr>
            <w:tcW w:w="816"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1.80%-2.80%</w:t>
            </w:r>
          </w:p>
        </w:tc>
        <w:tc>
          <w:tcPr>
            <w:tcW w:w="710"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3.00%</w:t>
            </w:r>
          </w:p>
        </w:tc>
        <w:tc>
          <w:tcPr>
            <w:tcW w:w="678"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2.80%</w:t>
            </w:r>
          </w:p>
        </w:tc>
      </w:tr>
      <w:bookmarkEnd w:id="0"/>
    </w:tbl>
    <w:p>
      <w:pPr>
        <w:pStyle w:val="11"/>
        <w:spacing w:before="312" w:beforeLines="100" w:beforeAutospacing="0" w:after="0" w:afterAutospacing="0" w:line="480" w:lineRule="auto"/>
        <w:ind w:firstLine="560" w:firstLineChars="200"/>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2025年10月14日及以后确认的份额适用调整后的业绩比较基准和超额报酬计提基准；2025年10月14日前已确认的份额，适用确认时原有的业绩比较基准和超额报酬计提基准。</w:t>
      </w:r>
    </w:p>
    <w:p>
      <w:pPr>
        <w:pStyle w:val="11"/>
        <w:spacing w:before="312" w:beforeLines="100" w:beforeAutospacing="0" w:after="0" w:afterAutospacing="0" w:line="480" w:lineRule="auto"/>
        <w:ind w:firstLine="560" w:firstLineChars="200"/>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投资者可通过原理财产品合同约定的信息披露渠道查询更新后的理财产品合同。</w:t>
      </w:r>
    </w:p>
    <w:p>
      <w:pPr>
        <w:pStyle w:val="11"/>
        <w:spacing w:before="312" w:beforeLines="10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特此公告。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ascii="楷体" w:hAnsi="楷体" w:eastAsia="楷体"/>
          <w:kern w:val="0"/>
          <w:sz w:val="28"/>
          <w:szCs w:val="28"/>
        </w:rPr>
      </w:pPr>
      <w:r>
        <w:rPr>
          <w:rFonts w:hint="eastAsia" w:ascii="楷体" w:hAnsi="楷体" w:eastAsia="楷体" w:cs="Times New Roman"/>
          <w:sz w:val="28"/>
          <w:szCs w:val="28"/>
        </w:rPr>
        <w:t>202</w:t>
      </w:r>
      <w:r>
        <w:rPr>
          <w:rFonts w:hint="eastAsia" w:ascii="楷体" w:hAnsi="楷体" w:eastAsia="楷体" w:cs="Times New Roman"/>
          <w:sz w:val="28"/>
          <w:szCs w:val="28"/>
          <w:lang w:val="en-US" w:eastAsia="zh-CN"/>
        </w:rPr>
        <w:t>5</w:t>
      </w:r>
      <w:r>
        <w:rPr>
          <w:rFonts w:hint="eastAsia" w:ascii="楷体" w:hAnsi="楷体" w:eastAsia="楷体" w:cs="Times New Roman"/>
          <w:sz w:val="28"/>
          <w:szCs w:val="28"/>
        </w:rPr>
        <w:t>年</w:t>
      </w:r>
      <w:r>
        <w:rPr>
          <w:rFonts w:hint="eastAsia" w:ascii="楷体" w:hAnsi="楷体" w:eastAsia="楷体" w:cs="Times New Roman"/>
          <w:sz w:val="28"/>
          <w:szCs w:val="28"/>
          <w:lang w:val="en-US" w:eastAsia="zh-CN"/>
        </w:rPr>
        <w:t>10</w:t>
      </w:r>
      <w:r>
        <w:rPr>
          <w:rFonts w:hint="eastAsia" w:ascii="楷体" w:hAnsi="楷体" w:eastAsia="楷体" w:cs="Times New Roman"/>
          <w:sz w:val="28"/>
          <w:szCs w:val="28"/>
        </w:rPr>
        <w:t>月</w:t>
      </w:r>
      <w:r>
        <w:rPr>
          <w:rFonts w:hint="eastAsia" w:ascii="楷体" w:hAnsi="楷体" w:eastAsia="楷体" w:cs="Times New Roman"/>
          <w:sz w:val="28"/>
          <w:szCs w:val="28"/>
          <w:lang w:val="en-US" w:eastAsia="zh-CN"/>
        </w:rPr>
        <w:t>10</w:t>
      </w:r>
      <w:bookmarkStart w:id="1" w:name="_GoBack"/>
      <w:bookmarkEnd w:id="1"/>
      <w:r>
        <w:rPr>
          <w:rFonts w:hint="eastAsia" w:ascii="楷体" w:hAnsi="楷体" w:eastAsia="楷体"/>
          <w:kern w:val="0"/>
          <w:sz w:val="28"/>
          <w:szCs w:val="28"/>
        </w:rPr>
        <w:t>日</w:t>
      </w:r>
    </w:p>
    <w:p>
      <w:pPr>
        <w:spacing w:line="520" w:lineRule="exact"/>
        <w:jc w:val="right"/>
        <w:rPr>
          <w:rFonts w:hint="eastAsia" w:ascii="楷体" w:hAnsi="楷体" w:eastAsia="楷体"/>
          <w:kern w:val="0"/>
          <w:sz w:val="24"/>
          <w:szCs w:val="24"/>
        </w:rPr>
      </w:pPr>
    </w:p>
    <w:p>
      <w:pPr>
        <w:spacing w:line="520" w:lineRule="exact"/>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3BA8"/>
    <w:rsid w:val="000247F9"/>
    <w:rsid w:val="00024C7F"/>
    <w:rsid w:val="000263ED"/>
    <w:rsid w:val="00027E61"/>
    <w:rsid w:val="00027F48"/>
    <w:rsid w:val="0003072E"/>
    <w:rsid w:val="00030D69"/>
    <w:rsid w:val="00031806"/>
    <w:rsid w:val="00031F80"/>
    <w:rsid w:val="00034890"/>
    <w:rsid w:val="000375C2"/>
    <w:rsid w:val="000405B1"/>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6A9"/>
    <w:rsid w:val="00093C11"/>
    <w:rsid w:val="00094631"/>
    <w:rsid w:val="00096382"/>
    <w:rsid w:val="0009795C"/>
    <w:rsid w:val="00097F80"/>
    <w:rsid w:val="000A2D2D"/>
    <w:rsid w:val="000A2E68"/>
    <w:rsid w:val="000A360D"/>
    <w:rsid w:val="000A45AB"/>
    <w:rsid w:val="000B0078"/>
    <w:rsid w:val="000B0690"/>
    <w:rsid w:val="000B153F"/>
    <w:rsid w:val="000B382A"/>
    <w:rsid w:val="000B3B58"/>
    <w:rsid w:val="000B3EFD"/>
    <w:rsid w:val="000B659B"/>
    <w:rsid w:val="000B6E9F"/>
    <w:rsid w:val="000B7D78"/>
    <w:rsid w:val="000C3DB1"/>
    <w:rsid w:val="000C54ED"/>
    <w:rsid w:val="000C5C02"/>
    <w:rsid w:val="000C6143"/>
    <w:rsid w:val="000C7382"/>
    <w:rsid w:val="000D2F69"/>
    <w:rsid w:val="000D35BD"/>
    <w:rsid w:val="000D71CF"/>
    <w:rsid w:val="000D7225"/>
    <w:rsid w:val="000D722C"/>
    <w:rsid w:val="000E0485"/>
    <w:rsid w:val="000E1951"/>
    <w:rsid w:val="000E2E7D"/>
    <w:rsid w:val="000E34F3"/>
    <w:rsid w:val="000E4205"/>
    <w:rsid w:val="000E478C"/>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40B25"/>
    <w:rsid w:val="00141D2B"/>
    <w:rsid w:val="001450DF"/>
    <w:rsid w:val="0014734D"/>
    <w:rsid w:val="00151CC7"/>
    <w:rsid w:val="00152B36"/>
    <w:rsid w:val="00153081"/>
    <w:rsid w:val="001530B2"/>
    <w:rsid w:val="001543E7"/>
    <w:rsid w:val="00155B77"/>
    <w:rsid w:val="00160569"/>
    <w:rsid w:val="00161E2F"/>
    <w:rsid w:val="001624A3"/>
    <w:rsid w:val="001624DA"/>
    <w:rsid w:val="00162BF5"/>
    <w:rsid w:val="00165E23"/>
    <w:rsid w:val="0016609C"/>
    <w:rsid w:val="00166B3A"/>
    <w:rsid w:val="00170099"/>
    <w:rsid w:val="00170194"/>
    <w:rsid w:val="00170927"/>
    <w:rsid w:val="0017092A"/>
    <w:rsid w:val="00170A6E"/>
    <w:rsid w:val="00172B90"/>
    <w:rsid w:val="00173409"/>
    <w:rsid w:val="00173A2B"/>
    <w:rsid w:val="00173CE1"/>
    <w:rsid w:val="00174417"/>
    <w:rsid w:val="001749CF"/>
    <w:rsid w:val="00176B8E"/>
    <w:rsid w:val="001770F3"/>
    <w:rsid w:val="00177BCC"/>
    <w:rsid w:val="0018251A"/>
    <w:rsid w:val="001846FB"/>
    <w:rsid w:val="00194E69"/>
    <w:rsid w:val="00195FF0"/>
    <w:rsid w:val="00197DD9"/>
    <w:rsid w:val="001A05F5"/>
    <w:rsid w:val="001A1C12"/>
    <w:rsid w:val="001A57DB"/>
    <w:rsid w:val="001A586B"/>
    <w:rsid w:val="001A73F1"/>
    <w:rsid w:val="001B1D26"/>
    <w:rsid w:val="001B1E1E"/>
    <w:rsid w:val="001B238B"/>
    <w:rsid w:val="001B2F76"/>
    <w:rsid w:val="001B2F82"/>
    <w:rsid w:val="001B396B"/>
    <w:rsid w:val="001B4B9C"/>
    <w:rsid w:val="001B72EB"/>
    <w:rsid w:val="001B7D0D"/>
    <w:rsid w:val="001C13E9"/>
    <w:rsid w:val="001C4148"/>
    <w:rsid w:val="001C78FF"/>
    <w:rsid w:val="001D0B29"/>
    <w:rsid w:val="001D1C27"/>
    <w:rsid w:val="001D2A8B"/>
    <w:rsid w:val="001D3246"/>
    <w:rsid w:val="001D48EE"/>
    <w:rsid w:val="001D49AC"/>
    <w:rsid w:val="001D4BC9"/>
    <w:rsid w:val="001D4FE1"/>
    <w:rsid w:val="001D5204"/>
    <w:rsid w:val="001D78FF"/>
    <w:rsid w:val="001E0062"/>
    <w:rsid w:val="001E0387"/>
    <w:rsid w:val="001E20D9"/>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7DF5"/>
    <w:rsid w:val="002A7E94"/>
    <w:rsid w:val="002B0795"/>
    <w:rsid w:val="002B2620"/>
    <w:rsid w:val="002B3225"/>
    <w:rsid w:val="002B5694"/>
    <w:rsid w:val="002C021F"/>
    <w:rsid w:val="002C2056"/>
    <w:rsid w:val="002C222A"/>
    <w:rsid w:val="002C23F7"/>
    <w:rsid w:val="002C3367"/>
    <w:rsid w:val="002C7117"/>
    <w:rsid w:val="002C7CB4"/>
    <w:rsid w:val="002D0706"/>
    <w:rsid w:val="002D29FD"/>
    <w:rsid w:val="002D2AEC"/>
    <w:rsid w:val="002D2C1F"/>
    <w:rsid w:val="002D600D"/>
    <w:rsid w:val="002D7D4D"/>
    <w:rsid w:val="002E1382"/>
    <w:rsid w:val="002E606F"/>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5FEE"/>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0DB3"/>
    <w:rsid w:val="0033166C"/>
    <w:rsid w:val="0033358A"/>
    <w:rsid w:val="00333937"/>
    <w:rsid w:val="003342B8"/>
    <w:rsid w:val="0033504B"/>
    <w:rsid w:val="003362C7"/>
    <w:rsid w:val="00336A5A"/>
    <w:rsid w:val="00337AA0"/>
    <w:rsid w:val="00342ADB"/>
    <w:rsid w:val="00343B0F"/>
    <w:rsid w:val="00347006"/>
    <w:rsid w:val="00347D0D"/>
    <w:rsid w:val="003503AE"/>
    <w:rsid w:val="00351898"/>
    <w:rsid w:val="00351D8C"/>
    <w:rsid w:val="0035213A"/>
    <w:rsid w:val="00353419"/>
    <w:rsid w:val="00355D35"/>
    <w:rsid w:val="00356BEA"/>
    <w:rsid w:val="00360094"/>
    <w:rsid w:val="003627FB"/>
    <w:rsid w:val="00362826"/>
    <w:rsid w:val="00363EEF"/>
    <w:rsid w:val="0036403D"/>
    <w:rsid w:val="0036455C"/>
    <w:rsid w:val="003656BF"/>
    <w:rsid w:val="00366074"/>
    <w:rsid w:val="00367122"/>
    <w:rsid w:val="0037083D"/>
    <w:rsid w:val="003717C3"/>
    <w:rsid w:val="00372402"/>
    <w:rsid w:val="003724FE"/>
    <w:rsid w:val="003726C4"/>
    <w:rsid w:val="003732C5"/>
    <w:rsid w:val="00374086"/>
    <w:rsid w:val="00375BEB"/>
    <w:rsid w:val="003800B4"/>
    <w:rsid w:val="003809E0"/>
    <w:rsid w:val="003814E2"/>
    <w:rsid w:val="00381E88"/>
    <w:rsid w:val="003821F9"/>
    <w:rsid w:val="003827CD"/>
    <w:rsid w:val="00383A99"/>
    <w:rsid w:val="00383D6D"/>
    <w:rsid w:val="003852EF"/>
    <w:rsid w:val="003870EE"/>
    <w:rsid w:val="00393452"/>
    <w:rsid w:val="00393DA7"/>
    <w:rsid w:val="00394C2C"/>
    <w:rsid w:val="00395441"/>
    <w:rsid w:val="00396F85"/>
    <w:rsid w:val="0039723A"/>
    <w:rsid w:val="003A01D0"/>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1EFB"/>
    <w:rsid w:val="003E2B26"/>
    <w:rsid w:val="003E4299"/>
    <w:rsid w:val="003E6D92"/>
    <w:rsid w:val="003E70B9"/>
    <w:rsid w:val="003E7812"/>
    <w:rsid w:val="003F2136"/>
    <w:rsid w:val="003F277A"/>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6041"/>
    <w:rsid w:val="00426CBC"/>
    <w:rsid w:val="00427CC0"/>
    <w:rsid w:val="0043002F"/>
    <w:rsid w:val="004303B3"/>
    <w:rsid w:val="00430927"/>
    <w:rsid w:val="0043308A"/>
    <w:rsid w:val="00433113"/>
    <w:rsid w:val="00434262"/>
    <w:rsid w:val="0043673C"/>
    <w:rsid w:val="00436801"/>
    <w:rsid w:val="00437DA0"/>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169"/>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2EDB"/>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1B1"/>
    <w:rsid w:val="004D73A7"/>
    <w:rsid w:val="004D7BA3"/>
    <w:rsid w:val="004E3C6A"/>
    <w:rsid w:val="004E46B0"/>
    <w:rsid w:val="004E645B"/>
    <w:rsid w:val="004F3AC9"/>
    <w:rsid w:val="004F3E60"/>
    <w:rsid w:val="004F40EF"/>
    <w:rsid w:val="004F46F0"/>
    <w:rsid w:val="004F4F78"/>
    <w:rsid w:val="004F55EC"/>
    <w:rsid w:val="005013A2"/>
    <w:rsid w:val="0050386F"/>
    <w:rsid w:val="005041D5"/>
    <w:rsid w:val="005071D2"/>
    <w:rsid w:val="00510526"/>
    <w:rsid w:val="00510823"/>
    <w:rsid w:val="0051208D"/>
    <w:rsid w:val="00515789"/>
    <w:rsid w:val="00516DA1"/>
    <w:rsid w:val="005201F1"/>
    <w:rsid w:val="00520ACC"/>
    <w:rsid w:val="00520B0B"/>
    <w:rsid w:val="005212D4"/>
    <w:rsid w:val="00522AA1"/>
    <w:rsid w:val="0052415B"/>
    <w:rsid w:val="005243E8"/>
    <w:rsid w:val="005266CB"/>
    <w:rsid w:val="00527FBD"/>
    <w:rsid w:val="0053069A"/>
    <w:rsid w:val="005308B0"/>
    <w:rsid w:val="0053444E"/>
    <w:rsid w:val="00534A35"/>
    <w:rsid w:val="00534ABB"/>
    <w:rsid w:val="0053510C"/>
    <w:rsid w:val="005362B4"/>
    <w:rsid w:val="0053633A"/>
    <w:rsid w:val="00536E3A"/>
    <w:rsid w:val="005400DC"/>
    <w:rsid w:val="00542CCA"/>
    <w:rsid w:val="0054309D"/>
    <w:rsid w:val="005436F3"/>
    <w:rsid w:val="00544451"/>
    <w:rsid w:val="005449D5"/>
    <w:rsid w:val="00544A6C"/>
    <w:rsid w:val="00551427"/>
    <w:rsid w:val="00551C0A"/>
    <w:rsid w:val="00551D45"/>
    <w:rsid w:val="005533EE"/>
    <w:rsid w:val="00554430"/>
    <w:rsid w:val="005554DE"/>
    <w:rsid w:val="00555858"/>
    <w:rsid w:val="00560551"/>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863AA"/>
    <w:rsid w:val="00590CD8"/>
    <w:rsid w:val="00593310"/>
    <w:rsid w:val="0059593D"/>
    <w:rsid w:val="00595C4D"/>
    <w:rsid w:val="00597498"/>
    <w:rsid w:val="0059767A"/>
    <w:rsid w:val="005A0462"/>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B792C"/>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794"/>
    <w:rsid w:val="00604135"/>
    <w:rsid w:val="006058CB"/>
    <w:rsid w:val="0060733C"/>
    <w:rsid w:val="0061140B"/>
    <w:rsid w:val="00613453"/>
    <w:rsid w:val="0061470B"/>
    <w:rsid w:val="00616AE1"/>
    <w:rsid w:val="00617F6B"/>
    <w:rsid w:val="0062067C"/>
    <w:rsid w:val="006214AD"/>
    <w:rsid w:val="0062541F"/>
    <w:rsid w:val="00625863"/>
    <w:rsid w:val="006260E5"/>
    <w:rsid w:val="0062647B"/>
    <w:rsid w:val="00627B69"/>
    <w:rsid w:val="00633754"/>
    <w:rsid w:val="00635E85"/>
    <w:rsid w:val="006371FF"/>
    <w:rsid w:val="006436A7"/>
    <w:rsid w:val="00643DD9"/>
    <w:rsid w:val="00644A75"/>
    <w:rsid w:val="006472A0"/>
    <w:rsid w:val="0064770E"/>
    <w:rsid w:val="00651512"/>
    <w:rsid w:val="00654956"/>
    <w:rsid w:val="00654DE7"/>
    <w:rsid w:val="0065533C"/>
    <w:rsid w:val="00656A9D"/>
    <w:rsid w:val="00656F5E"/>
    <w:rsid w:val="00662CBC"/>
    <w:rsid w:val="0066783E"/>
    <w:rsid w:val="006700A9"/>
    <w:rsid w:val="0067038D"/>
    <w:rsid w:val="00670675"/>
    <w:rsid w:val="00671A6A"/>
    <w:rsid w:val="00673F0C"/>
    <w:rsid w:val="00676A38"/>
    <w:rsid w:val="00680098"/>
    <w:rsid w:val="00680957"/>
    <w:rsid w:val="00682CFC"/>
    <w:rsid w:val="00683B13"/>
    <w:rsid w:val="00686216"/>
    <w:rsid w:val="00686325"/>
    <w:rsid w:val="00686EC4"/>
    <w:rsid w:val="00687063"/>
    <w:rsid w:val="00691425"/>
    <w:rsid w:val="00693207"/>
    <w:rsid w:val="00695E17"/>
    <w:rsid w:val="00696763"/>
    <w:rsid w:val="00696D1D"/>
    <w:rsid w:val="0069734A"/>
    <w:rsid w:val="006A139A"/>
    <w:rsid w:val="006A1939"/>
    <w:rsid w:val="006A303A"/>
    <w:rsid w:val="006A3E8F"/>
    <w:rsid w:val="006A4427"/>
    <w:rsid w:val="006A45A4"/>
    <w:rsid w:val="006A45AE"/>
    <w:rsid w:val="006A5C3E"/>
    <w:rsid w:val="006B0367"/>
    <w:rsid w:val="006B147C"/>
    <w:rsid w:val="006B1E00"/>
    <w:rsid w:val="006B202A"/>
    <w:rsid w:val="006B3A3C"/>
    <w:rsid w:val="006B4802"/>
    <w:rsid w:val="006B4CE2"/>
    <w:rsid w:val="006B5097"/>
    <w:rsid w:val="006B5516"/>
    <w:rsid w:val="006B5D36"/>
    <w:rsid w:val="006B5E7D"/>
    <w:rsid w:val="006B6377"/>
    <w:rsid w:val="006B7A09"/>
    <w:rsid w:val="006C42CE"/>
    <w:rsid w:val="006C51DA"/>
    <w:rsid w:val="006C5486"/>
    <w:rsid w:val="006C592D"/>
    <w:rsid w:val="006C5D93"/>
    <w:rsid w:val="006C74B3"/>
    <w:rsid w:val="006D209C"/>
    <w:rsid w:val="006D3791"/>
    <w:rsid w:val="006D465F"/>
    <w:rsid w:val="006D46A6"/>
    <w:rsid w:val="006D4B56"/>
    <w:rsid w:val="006D7209"/>
    <w:rsid w:val="006E02E0"/>
    <w:rsid w:val="006E11C9"/>
    <w:rsid w:val="006E31AE"/>
    <w:rsid w:val="006E4984"/>
    <w:rsid w:val="006E5DEE"/>
    <w:rsid w:val="006E5E71"/>
    <w:rsid w:val="006F32BF"/>
    <w:rsid w:val="006F38F6"/>
    <w:rsid w:val="006F3989"/>
    <w:rsid w:val="006F3DB1"/>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7CE"/>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5F80"/>
    <w:rsid w:val="00796A9E"/>
    <w:rsid w:val="00796D05"/>
    <w:rsid w:val="00797687"/>
    <w:rsid w:val="007A0BE3"/>
    <w:rsid w:val="007A25AF"/>
    <w:rsid w:val="007A30A5"/>
    <w:rsid w:val="007A4E36"/>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15F"/>
    <w:rsid w:val="007D4C02"/>
    <w:rsid w:val="007D5920"/>
    <w:rsid w:val="007D6496"/>
    <w:rsid w:val="007D6731"/>
    <w:rsid w:val="007D6837"/>
    <w:rsid w:val="007D7001"/>
    <w:rsid w:val="007D782F"/>
    <w:rsid w:val="007D7E87"/>
    <w:rsid w:val="007E1666"/>
    <w:rsid w:val="007E1ECC"/>
    <w:rsid w:val="007E2A09"/>
    <w:rsid w:val="007E40DD"/>
    <w:rsid w:val="007E49F3"/>
    <w:rsid w:val="007E4D5F"/>
    <w:rsid w:val="007E5A59"/>
    <w:rsid w:val="007E7C73"/>
    <w:rsid w:val="007F0225"/>
    <w:rsid w:val="007F0AC8"/>
    <w:rsid w:val="007F10CE"/>
    <w:rsid w:val="007F167C"/>
    <w:rsid w:val="007F2066"/>
    <w:rsid w:val="007F2B93"/>
    <w:rsid w:val="007F4005"/>
    <w:rsid w:val="007F64E9"/>
    <w:rsid w:val="007F7EFE"/>
    <w:rsid w:val="007F7F51"/>
    <w:rsid w:val="0080100B"/>
    <w:rsid w:val="00801BBC"/>
    <w:rsid w:val="00802684"/>
    <w:rsid w:val="00804380"/>
    <w:rsid w:val="00804490"/>
    <w:rsid w:val="00805FBA"/>
    <w:rsid w:val="00806655"/>
    <w:rsid w:val="00806B2A"/>
    <w:rsid w:val="008071EA"/>
    <w:rsid w:val="00810DA4"/>
    <w:rsid w:val="008119FA"/>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A8D"/>
    <w:rsid w:val="008362EF"/>
    <w:rsid w:val="008367C0"/>
    <w:rsid w:val="00840F68"/>
    <w:rsid w:val="00843EBB"/>
    <w:rsid w:val="008443EB"/>
    <w:rsid w:val="00844E1C"/>
    <w:rsid w:val="00847A9C"/>
    <w:rsid w:val="00855674"/>
    <w:rsid w:val="0086291A"/>
    <w:rsid w:val="00862D4F"/>
    <w:rsid w:val="00871456"/>
    <w:rsid w:val="00871856"/>
    <w:rsid w:val="00872ABA"/>
    <w:rsid w:val="00872FCE"/>
    <w:rsid w:val="00874EBD"/>
    <w:rsid w:val="008761FC"/>
    <w:rsid w:val="00876986"/>
    <w:rsid w:val="00877D2F"/>
    <w:rsid w:val="008800C1"/>
    <w:rsid w:val="00881137"/>
    <w:rsid w:val="00882933"/>
    <w:rsid w:val="00883A75"/>
    <w:rsid w:val="00883F98"/>
    <w:rsid w:val="00884396"/>
    <w:rsid w:val="008843FC"/>
    <w:rsid w:val="008862BD"/>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7E2E"/>
    <w:rsid w:val="008B3124"/>
    <w:rsid w:val="008B5749"/>
    <w:rsid w:val="008B6744"/>
    <w:rsid w:val="008B6930"/>
    <w:rsid w:val="008B72A5"/>
    <w:rsid w:val="008B7762"/>
    <w:rsid w:val="008C0421"/>
    <w:rsid w:val="008C1918"/>
    <w:rsid w:val="008C1A51"/>
    <w:rsid w:val="008C2A4A"/>
    <w:rsid w:val="008C2F29"/>
    <w:rsid w:val="008C421B"/>
    <w:rsid w:val="008C4AD0"/>
    <w:rsid w:val="008C6B30"/>
    <w:rsid w:val="008D0471"/>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4FB7"/>
    <w:rsid w:val="008E55EA"/>
    <w:rsid w:val="008E5926"/>
    <w:rsid w:val="008E75C5"/>
    <w:rsid w:val="008E7887"/>
    <w:rsid w:val="008E7E6E"/>
    <w:rsid w:val="008F1194"/>
    <w:rsid w:val="008F1884"/>
    <w:rsid w:val="008F237A"/>
    <w:rsid w:val="008F2796"/>
    <w:rsid w:val="008F34D3"/>
    <w:rsid w:val="008F5C59"/>
    <w:rsid w:val="008F6A2F"/>
    <w:rsid w:val="008F6B5E"/>
    <w:rsid w:val="008F755E"/>
    <w:rsid w:val="008F79D0"/>
    <w:rsid w:val="009008B1"/>
    <w:rsid w:val="00902015"/>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4926"/>
    <w:rsid w:val="00924ED9"/>
    <w:rsid w:val="009277E9"/>
    <w:rsid w:val="0093042C"/>
    <w:rsid w:val="00931316"/>
    <w:rsid w:val="00933086"/>
    <w:rsid w:val="00934A0F"/>
    <w:rsid w:val="00935CA2"/>
    <w:rsid w:val="00937EC6"/>
    <w:rsid w:val="00937ED6"/>
    <w:rsid w:val="009406E7"/>
    <w:rsid w:val="00940B04"/>
    <w:rsid w:val="00944AB3"/>
    <w:rsid w:val="009465F6"/>
    <w:rsid w:val="009469A2"/>
    <w:rsid w:val="00950141"/>
    <w:rsid w:val="00950FC7"/>
    <w:rsid w:val="00951D07"/>
    <w:rsid w:val="00953FB3"/>
    <w:rsid w:val="0095455D"/>
    <w:rsid w:val="0095482D"/>
    <w:rsid w:val="009563AA"/>
    <w:rsid w:val="009623A4"/>
    <w:rsid w:val="00963229"/>
    <w:rsid w:val="0096515A"/>
    <w:rsid w:val="00965A0C"/>
    <w:rsid w:val="00965C79"/>
    <w:rsid w:val="00966601"/>
    <w:rsid w:val="00967094"/>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2CF2"/>
    <w:rsid w:val="009B39A0"/>
    <w:rsid w:val="009B45E7"/>
    <w:rsid w:val="009B473F"/>
    <w:rsid w:val="009B493A"/>
    <w:rsid w:val="009B4DE3"/>
    <w:rsid w:val="009B563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18D3"/>
    <w:rsid w:val="009E2925"/>
    <w:rsid w:val="009E409E"/>
    <w:rsid w:val="009E63C4"/>
    <w:rsid w:val="009E7131"/>
    <w:rsid w:val="009F0065"/>
    <w:rsid w:val="009F0651"/>
    <w:rsid w:val="009F0908"/>
    <w:rsid w:val="009F1BCB"/>
    <w:rsid w:val="009F229C"/>
    <w:rsid w:val="009F2488"/>
    <w:rsid w:val="009F3650"/>
    <w:rsid w:val="009F6E81"/>
    <w:rsid w:val="009F7321"/>
    <w:rsid w:val="00A00194"/>
    <w:rsid w:val="00A001C6"/>
    <w:rsid w:val="00A00244"/>
    <w:rsid w:val="00A02BF2"/>
    <w:rsid w:val="00A031F9"/>
    <w:rsid w:val="00A05A0B"/>
    <w:rsid w:val="00A05E0C"/>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1E23"/>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137D"/>
    <w:rsid w:val="00A84413"/>
    <w:rsid w:val="00A85069"/>
    <w:rsid w:val="00A851D3"/>
    <w:rsid w:val="00A85C99"/>
    <w:rsid w:val="00A86059"/>
    <w:rsid w:val="00A8682A"/>
    <w:rsid w:val="00A877EA"/>
    <w:rsid w:val="00A90434"/>
    <w:rsid w:val="00A90848"/>
    <w:rsid w:val="00A90D5D"/>
    <w:rsid w:val="00A919A8"/>
    <w:rsid w:val="00A926B3"/>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C12F5"/>
    <w:rsid w:val="00AC1749"/>
    <w:rsid w:val="00AC2A9D"/>
    <w:rsid w:val="00AC56CE"/>
    <w:rsid w:val="00AC59CF"/>
    <w:rsid w:val="00AC604F"/>
    <w:rsid w:val="00AC6414"/>
    <w:rsid w:val="00AC71B2"/>
    <w:rsid w:val="00AD2F15"/>
    <w:rsid w:val="00AD34FD"/>
    <w:rsid w:val="00AD4224"/>
    <w:rsid w:val="00AD4E75"/>
    <w:rsid w:val="00AD6DC7"/>
    <w:rsid w:val="00AD74C8"/>
    <w:rsid w:val="00AE3181"/>
    <w:rsid w:val="00AE357C"/>
    <w:rsid w:val="00AE6795"/>
    <w:rsid w:val="00AE6ED6"/>
    <w:rsid w:val="00AE7EDF"/>
    <w:rsid w:val="00AF07F9"/>
    <w:rsid w:val="00AF165B"/>
    <w:rsid w:val="00AF16C9"/>
    <w:rsid w:val="00AF3257"/>
    <w:rsid w:val="00AF4186"/>
    <w:rsid w:val="00B01969"/>
    <w:rsid w:val="00B04BED"/>
    <w:rsid w:val="00B06EDD"/>
    <w:rsid w:val="00B075D7"/>
    <w:rsid w:val="00B10470"/>
    <w:rsid w:val="00B10AEC"/>
    <w:rsid w:val="00B12515"/>
    <w:rsid w:val="00B1367C"/>
    <w:rsid w:val="00B16963"/>
    <w:rsid w:val="00B2044E"/>
    <w:rsid w:val="00B20ED9"/>
    <w:rsid w:val="00B234B3"/>
    <w:rsid w:val="00B24FA2"/>
    <w:rsid w:val="00B27D31"/>
    <w:rsid w:val="00B30BB7"/>
    <w:rsid w:val="00B3130A"/>
    <w:rsid w:val="00B320FF"/>
    <w:rsid w:val="00B32B9E"/>
    <w:rsid w:val="00B32FB1"/>
    <w:rsid w:val="00B35AFE"/>
    <w:rsid w:val="00B3661E"/>
    <w:rsid w:val="00B40329"/>
    <w:rsid w:val="00B40B8D"/>
    <w:rsid w:val="00B4103B"/>
    <w:rsid w:val="00B432A2"/>
    <w:rsid w:val="00B45440"/>
    <w:rsid w:val="00B53BE1"/>
    <w:rsid w:val="00B5466A"/>
    <w:rsid w:val="00B546E5"/>
    <w:rsid w:val="00B54E07"/>
    <w:rsid w:val="00B565C8"/>
    <w:rsid w:val="00B56E68"/>
    <w:rsid w:val="00B575ED"/>
    <w:rsid w:val="00B57F78"/>
    <w:rsid w:val="00B62F9E"/>
    <w:rsid w:val="00B6326B"/>
    <w:rsid w:val="00B66F7A"/>
    <w:rsid w:val="00B67ED0"/>
    <w:rsid w:val="00B70E53"/>
    <w:rsid w:val="00B71451"/>
    <w:rsid w:val="00B74278"/>
    <w:rsid w:val="00B74705"/>
    <w:rsid w:val="00B74730"/>
    <w:rsid w:val="00B75149"/>
    <w:rsid w:val="00B80089"/>
    <w:rsid w:val="00B803D6"/>
    <w:rsid w:val="00B83257"/>
    <w:rsid w:val="00B85502"/>
    <w:rsid w:val="00B903E3"/>
    <w:rsid w:val="00B911C2"/>
    <w:rsid w:val="00B91DF8"/>
    <w:rsid w:val="00B93396"/>
    <w:rsid w:val="00B95300"/>
    <w:rsid w:val="00B9543E"/>
    <w:rsid w:val="00B9594C"/>
    <w:rsid w:val="00B96A97"/>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3345"/>
    <w:rsid w:val="00BD4A4B"/>
    <w:rsid w:val="00BD4C27"/>
    <w:rsid w:val="00BD626E"/>
    <w:rsid w:val="00BD6E92"/>
    <w:rsid w:val="00BE05BB"/>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04A8"/>
    <w:rsid w:val="00C13805"/>
    <w:rsid w:val="00C15CA6"/>
    <w:rsid w:val="00C16807"/>
    <w:rsid w:val="00C179D3"/>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3961"/>
    <w:rsid w:val="00C7422F"/>
    <w:rsid w:val="00C751BF"/>
    <w:rsid w:val="00C7651A"/>
    <w:rsid w:val="00C77280"/>
    <w:rsid w:val="00C812AA"/>
    <w:rsid w:val="00C81AD1"/>
    <w:rsid w:val="00C83111"/>
    <w:rsid w:val="00C84265"/>
    <w:rsid w:val="00C84ED5"/>
    <w:rsid w:val="00C87300"/>
    <w:rsid w:val="00C9070B"/>
    <w:rsid w:val="00C94791"/>
    <w:rsid w:val="00C96465"/>
    <w:rsid w:val="00C96D0A"/>
    <w:rsid w:val="00CA001B"/>
    <w:rsid w:val="00CA01AD"/>
    <w:rsid w:val="00CA1A52"/>
    <w:rsid w:val="00CA2625"/>
    <w:rsid w:val="00CA3024"/>
    <w:rsid w:val="00CA3E46"/>
    <w:rsid w:val="00CA5475"/>
    <w:rsid w:val="00CA6FE3"/>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3521"/>
    <w:rsid w:val="00CE3BC2"/>
    <w:rsid w:val="00CE5723"/>
    <w:rsid w:val="00CE6ED8"/>
    <w:rsid w:val="00CE74C3"/>
    <w:rsid w:val="00CF1168"/>
    <w:rsid w:val="00CF1C88"/>
    <w:rsid w:val="00CF3FC7"/>
    <w:rsid w:val="00CF4203"/>
    <w:rsid w:val="00CF4841"/>
    <w:rsid w:val="00CF5493"/>
    <w:rsid w:val="00CF67D8"/>
    <w:rsid w:val="00CF694E"/>
    <w:rsid w:val="00CF6BF4"/>
    <w:rsid w:val="00CF7DE9"/>
    <w:rsid w:val="00D01398"/>
    <w:rsid w:val="00D0189D"/>
    <w:rsid w:val="00D039B6"/>
    <w:rsid w:val="00D04528"/>
    <w:rsid w:val="00D050BA"/>
    <w:rsid w:val="00D05E32"/>
    <w:rsid w:val="00D06FC6"/>
    <w:rsid w:val="00D106A3"/>
    <w:rsid w:val="00D11CE7"/>
    <w:rsid w:val="00D12281"/>
    <w:rsid w:val="00D14D03"/>
    <w:rsid w:val="00D174F0"/>
    <w:rsid w:val="00D17707"/>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74106"/>
    <w:rsid w:val="00D802FD"/>
    <w:rsid w:val="00D8162D"/>
    <w:rsid w:val="00D869C5"/>
    <w:rsid w:val="00D932E1"/>
    <w:rsid w:val="00D937A6"/>
    <w:rsid w:val="00D94A5A"/>
    <w:rsid w:val="00D95166"/>
    <w:rsid w:val="00D9678E"/>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AC7"/>
    <w:rsid w:val="00DC0DBE"/>
    <w:rsid w:val="00DC429D"/>
    <w:rsid w:val="00DC553A"/>
    <w:rsid w:val="00DC6E17"/>
    <w:rsid w:val="00DC6F8F"/>
    <w:rsid w:val="00DC7BF3"/>
    <w:rsid w:val="00DD26B7"/>
    <w:rsid w:val="00DD35D4"/>
    <w:rsid w:val="00DD4DCA"/>
    <w:rsid w:val="00DD5181"/>
    <w:rsid w:val="00DD5CCB"/>
    <w:rsid w:val="00DD600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BFA"/>
    <w:rsid w:val="00E47194"/>
    <w:rsid w:val="00E477BE"/>
    <w:rsid w:val="00E47B62"/>
    <w:rsid w:val="00E51517"/>
    <w:rsid w:val="00E51F74"/>
    <w:rsid w:val="00E54533"/>
    <w:rsid w:val="00E55868"/>
    <w:rsid w:val="00E60C14"/>
    <w:rsid w:val="00E61815"/>
    <w:rsid w:val="00E63C50"/>
    <w:rsid w:val="00E653EB"/>
    <w:rsid w:val="00E65D86"/>
    <w:rsid w:val="00E66967"/>
    <w:rsid w:val="00E66CE9"/>
    <w:rsid w:val="00E67E1C"/>
    <w:rsid w:val="00E70E2A"/>
    <w:rsid w:val="00E72C1A"/>
    <w:rsid w:val="00E74BBE"/>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6D3A"/>
    <w:rsid w:val="00EC744B"/>
    <w:rsid w:val="00EC778D"/>
    <w:rsid w:val="00EC7B5A"/>
    <w:rsid w:val="00ED0894"/>
    <w:rsid w:val="00ED1573"/>
    <w:rsid w:val="00ED1966"/>
    <w:rsid w:val="00ED419B"/>
    <w:rsid w:val="00ED467F"/>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CC9"/>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7DBE"/>
    <w:rsid w:val="00F421EA"/>
    <w:rsid w:val="00F430AC"/>
    <w:rsid w:val="00F462D5"/>
    <w:rsid w:val="00F46975"/>
    <w:rsid w:val="00F477B9"/>
    <w:rsid w:val="00F53604"/>
    <w:rsid w:val="00F54A39"/>
    <w:rsid w:val="00F54B2D"/>
    <w:rsid w:val="00F54BBB"/>
    <w:rsid w:val="00F55625"/>
    <w:rsid w:val="00F55FAE"/>
    <w:rsid w:val="00F60171"/>
    <w:rsid w:val="00F6086F"/>
    <w:rsid w:val="00F613FA"/>
    <w:rsid w:val="00F61F89"/>
    <w:rsid w:val="00F6631F"/>
    <w:rsid w:val="00F72112"/>
    <w:rsid w:val="00F723D6"/>
    <w:rsid w:val="00F724AB"/>
    <w:rsid w:val="00F77E87"/>
    <w:rsid w:val="00F804E3"/>
    <w:rsid w:val="00F806A9"/>
    <w:rsid w:val="00F81620"/>
    <w:rsid w:val="00F8217F"/>
    <w:rsid w:val="00F83113"/>
    <w:rsid w:val="00F83C22"/>
    <w:rsid w:val="00F84521"/>
    <w:rsid w:val="00F84D51"/>
    <w:rsid w:val="00F87451"/>
    <w:rsid w:val="00F906AB"/>
    <w:rsid w:val="00F91766"/>
    <w:rsid w:val="00F91A6E"/>
    <w:rsid w:val="00F96B7D"/>
    <w:rsid w:val="00FA0537"/>
    <w:rsid w:val="00FA25EA"/>
    <w:rsid w:val="00FA2ECA"/>
    <w:rsid w:val="00FA2FA8"/>
    <w:rsid w:val="00FA65E5"/>
    <w:rsid w:val="00FA6A63"/>
    <w:rsid w:val="00FB1348"/>
    <w:rsid w:val="00FB1EA0"/>
    <w:rsid w:val="00FB2144"/>
    <w:rsid w:val="00FB2DA4"/>
    <w:rsid w:val="00FB45C2"/>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18A0E13"/>
    <w:rsid w:val="0300371E"/>
    <w:rsid w:val="05C24554"/>
    <w:rsid w:val="071A52FC"/>
    <w:rsid w:val="07731EDA"/>
    <w:rsid w:val="099D0555"/>
    <w:rsid w:val="0DAF4280"/>
    <w:rsid w:val="0EF2196A"/>
    <w:rsid w:val="10D70EEF"/>
    <w:rsid w:val="10E55ACF"/>
    <w:rsid w:val="116B46A6"/>
    <w:rsid w:val="15CF287D"/>
    <w:rsid w:val="1CBD191D"/>
    <w:rsid w:val="1F461B9E"/>
    <w:rsid w:val="1F5F775F"/>
    <w:rsid w:val="1F6B7985"/>
    <w:rsid w:val="20AE523F"/>
    <w:rsid w:val="236D6E6F"/>
    <w:rsid w:val="2610650A"/>
    <w:rsid w:val="296E6C99"/>
    <w:rsid w:val="2AC9613C"/>
    <w:rsid w:val="32525E9A"/>
    <w:rsid w:val="33871BA2"/>
    <w:rsid w:val="370D7291"/>
    <w:rsid w:val="393A2B5E"/>
    <w:rsid w:val="394C21B8"/>
    <w:rsid w:val="3ABF7DB8"/>
    <w:rsid w:val="3BBD13EF"/>
    <w:rsid w:val="3F1A7967"/>
    <w:rsid w:val="3F7A47E3"/>
    <w:rsid w:val="400B151C"/>
    <w:rsid w:val="44D23E4F"/>
    <w:rsid w:val="45EB52C6"/>
    <w:rsid w:val="462B4A43"/>
    <w:rsid w:val="47270B2F"/>
    <w:rsid w:val="4C9A2129"/>
    <w:rsid w:val="4F40507F"/>
    <w:rsid w:val="518F5CB5"/>
    <w:rsid w:val="537D605C"/>
    <w:rsid w:val="53BC3AFB"/>
    <w:rsid w:val="54625FAA"/>
    <w:rsid w:val="54900458"/>
    <w:rsid w:val="571C3F68"/>
    <w:rsid w:val="59C56020"/>
    <w:rsid w:val="5A4E1222"/>
    <w:rsid w:val="5AD6708B"/>
    <w:rsid w:val="62556F19"/>
    <w:rsid w:val="631B51A6"/>
    <w:rsid w:val="654E3EDD"/>
    <w:rsid w:val="65F41625"/>
    <w:rsid w:val="66133465"/>
    <w:rsid w:val="67EC0F8F"/>
    <w:rsid w:val="68E321EE"/>
    <w:rsid w:val="69C04ABB"/>
    <w:rsid w:val="6ACE4D37"/>
    <w:rsid w:val="6D1055A2"/>
    <w:rsid w:val="729A5AE5"/>
    <w:rsid w:val="73534E8C"/>
    <w:rsid w:val="7396760B"/>
    <w:rsid w:val="74966354"/>
    <w:rsid w:val="77667C2A"/>
    <w:rsid w:val="77DF3C94"/>
    <w:rsid w:val="78C2373C"/>
    <w:rsid w:val="7E0E063A"/>
    <w:rsid w:val="7EDE716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basedOn w:val="15"/>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0">
    <w:name w:val="List Paragraph"/>
    <w:basedOn w:val="1"/>
    <w:qFormat/>
    <w:uiPriority w:val="72"/>
    <w:pPr>
      <w:ind w:firstLine="420" w:firstLineChars="200"/>
    </w:pPr>
  </w:style>
  <w:style w:type="paragraph" w:customStyle="1" w:styleId="31">
    <w:name w:val="_Style 30"/>
    <w:semiHidden/>
    <w:qFormat/>
    <w:uiPriority w:val="99"/>
    <w:rPr>
      <w:rFonts w:ascii="Times New Roman" w:hAnsi="Times New Roman" w:eastAsia="宋体" w:cs="Times New Roman"/>
      <w:kern w:val="2"/>
      <w:sz w:val="21"/>
      <w:szCs w:val="22"/>
      <w:lang w:val="en-US" w:eastAsia="zh-CN" w:bidi="ar-SA"/>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340</Words>
  <Characters>477</Characters>
  <Lines>3</Lines>
  <Paragraphs>1</Paragraphs>
  <TotalTime>49</TotalTime>
  <ScaleCrop>false</ScaleCrop>
  <LinksUpToDate>false</LinksUpToDate>
  <CharactersWithSpaces>477</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2022-01-13T11:27:00Z</dcterms:created>
  <dc:creator>JSYH</dc:creator>
  <cp:lastModifiedBy>lhy</cp:lastModifiedBy>
  <cp:lastPrinted>2022-07-25T07:20:00Z</cp:lastPrinted>
  <dcterms:modified xsi:type="dcterms:W3CDTF">2025-10-09T07:58:07Z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504F357B62BE4CA2A6D75E9714E2A4CD</vt:lpwstr>
  </property>
</Properties>
</file>